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lef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660" w:lineRule="exact"/>
        <w:jc w:val="center"/>
        <w:textAlignment w:val="auto"/>
        <w:rPr>
          <w:rFonts w:ascii="Times New Roman" w:hAnsi="Times New Roman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32"/>
          <w:szCs w:val="32"/>
          <w:lang w:val="en-US" w:eastAsia="zh-CN"/>
        </w:rPr>
        <w:t>XX学院XX</w:t>
      </w:r>
      <w:r>
        <w:rPr>
          <w:rFonts w:hint="eastAsia" w:ascii="Times New Roman" w:hAnsi="Times New Roman" w:eastAsia="方正小标宋简体" w:cs="宋体"/>
          <w:color w:val="000000"/>
          <w:kern w:val="0"/>
          <w:sz w:val="32"/>
          <w:szCs w:val="32"/>
        </w:rPr>
        <w:t>团（总）支部星级评定表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40"/>
        <w:gridCol w:w="2416"/>
        <w:gridCol w:w="267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632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类别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对标项目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具体指标要求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班子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建设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班子配备齐整（5分）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书记（副书记、委员）配备齐整，随缺随补，按期换届；支书称职。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（1）超过6个月没有书记或未按规定换届的，不得分；（2）超过1年未配备书记的，或超过规定期限2年未换届的，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直接评定为软弱涣散团支部。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2．班子运转有序（5分）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支部委员设置规范、分工明确，支委会运转正常、能发挥作用。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支部团员超过7人，但未成立支委会的不得分。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团员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管理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3．团员信息完整（10分）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团员底数清晰，团员信息完整，团员档案完备，能联系上。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评估是否有团员基本信息台账，核查“智慧团建”系统数据，与实际情况出入较大或严重不符、弄虚作假的，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直接评定为软弱涣散团支部。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4．入团程序规范（10分）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严格按程序发展团员；无突击发展团员、不满14周岁入团等现象；规范组织入团仪式。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（1）存在2021年新发展团员未录入“智慧团建”系统的不得分；（2）出现无发展团员编号入团、低龄入团等严重违规问题，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直接评定为软弱涣散团支部。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5．基础团务规范（5分）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及时规范转接团员组织关系；按时足额收缴、上缴团费。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评估2021年接收和转出团员情况；团费实收占应收的比例。未及时开展团员组织关系转接、失联团员较多、团费收缴情况较差的不得分。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6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组织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生活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党史学习教育（10分）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按照“学党史、强信念、跟党走”党史学习教育安排，组织专题学习会、主题团日等学习活动；每次团员参与率50%以上。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与“智慧团建”系统核查校验，评定为五星级或四星级团支部，全年开展党史学习教育活动应不少于5次（含组织生活会）。开展少于2次的（含组织生活会），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直接评定为软弱涣散团支部。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7．组织生活会（5分）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定期开展组织生活会，每年不少于1次，有主题有记录。团总支书记、副书记编入一个团的支部，并参加所在支部组织生活。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根据“学党史、强信念、跟党走”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专题组织生活会实施指引开展，应开展但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  <w:t>未开展的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sz w:val="24"/>
                <w:szCs w:val="24"/>
              </w:rPr>
              <w:t>直接评定为软弱涣散团支部。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8．“三会两制一课”（10分）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团员大会一般每季度召开1次；支委会一般每月召开1次；团小组会根据需要随时召开；团员年度团籍注册工作与团员教育评议相结合，一般每年进行1次。每季度安排上1次团课。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制度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落实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9．组织设置规范（5分）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支部至少有3名以上团员（含保团籍的党员）、不超过50人，隶属关系清晰；团总支至少有2个下属支部；规范设立、管理团小组。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与“智慧团建”系统核查校验，团支部团员少于3人超过半年未撤并、团支部多于50人超过半年未调整、团总支只有1个或没有下属团支部的不得分。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10．“智慧团建”应用（5分）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团员、团组织、团干部信息完整；及时动态更新信息。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团支部管理员超过3个月未登录使用“智慧团建”系统的、违规将非团员录入系统的不得分。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11．团员先进性评价（5分）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未开展团员先进性评价的不得分。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12.规范使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用团的标识（5分）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落实团旗、团徽、团歌使用管理规定要求。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使用不规范团旗团徽，或未按规定使用团旗团徽造成不良影响的不得分。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作用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发挥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13.团员先进性彰显（10分）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团员全部成为注册志愿者并可查验；团员在工作、学习等方面发挥模范作用。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支部成员受到党纪处分、政务处分、团纪处分的不得分。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14.服务中心大局成效（5分）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评估工作和活动实际效果、党组织及团员青年满意度。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2" w:type="pct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15.加强“推优入党”（5分）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评估支部团员申请入党人数；推优是否规范，经过团组织推优加入党组织的人数；全年未开展推优工作的不得分。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458" w:type="pct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自评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定级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）星级团（总）支部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上级复核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 xml:space="preserve"> 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）星级团（总）支部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120" w:beforeLines="50" w:line="260" w:lineRule="exact"/>
        <w:rPr>
          <w:rFonts w:hint="eastAsia" w:ascii="Times New Roman" w:hAnsi="Times New Roman" w:eastAsia="方正楷体_GBK"/>
          <w:color w:val="000000"/>
          <w:spacing w:val="-6"/>
          <w:sz w:val="24"/>
          <w:szCs w:val="24"/>
        </w:rPr>
      </w:pPr>
      <w:r>
        <w:rPr>
          <w:rFonts w:ascii="Times New Roman" w:hAnsi="Times New Roman" w:eastAsia="方正楷体_GBK"/>
          <w:color w:val="000000"/>
          <w:sz w:val="24"/>
          <w:szCs w:val="24"/>
        </w:rPr>
        <w:t>注</w:t>
      </w:r>
      <w:r>
        <w:rPr>
          <w:rFonts w:hint="eastAsia" w:ascii="Times New Roman" w:hAnsi="Times New Roman" w:eastAsia="方正楷体_GBK"/>
          <w:color w:val="000000"/>
          <w:sz w:val="24"/>
          <w:szCs w:val="24"/>
        </w:rPr>
        <w:t>；（1）因上级团组织未分配发展团员计划指标而未发展团员的，不评估第4项；</w:t>
      </w:r>
    </w:p>
    <w:p>
      <w:pPr>
        <w:snapToGrid w:val="0"/>
        <w:spacing w:before="120" w:beforeLines="50" w:line="260" w:lineRule="exact"/>
        <w:ind w:firstLine="342" w:firstLineChars="150"/>
      </w:pPr>
      <w:r>
        <w:rPr>
          <w:rFonts w:hint="eastAsia" w:ascii="Times New Roman" w:hAnsi="Times New Roman" w:eastAsia="方正楷体_GBK"/>
          <w:color w:val="000000"/>
          <w:spacing w:val="-6"/>
          <w:sz w:val="24"/>
          <w:szCs w:val="24"/>
        </w:rPr>
        <w:t>（2）评估说明中涉及“直接评定为软弱涣散团支部”情形的指标为“一票否决”指标。</w:t>
      </w:r>
    </w:p>
    <w:sectPr>
      <w:pgSz w:w="11906" w:h="16838"/>
      <w:pgMar w:top="1418" w:right="1531" w:bottom="141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6EF2"/>
    <w:multiLevelType w:val="singleLevel"/>
    <w:tmpl w:val="EEFD6EF2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FDFFE1D3"/>
    <w:multiLevelType w:val="singleLevel"/>
    <w:tmpl w:val="FDFFE1D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5825"/>
    <w:rsid w:val="010875D3"/>
    <w:rsid w:val="0A2422DF"/>
    <w:rsid w:val="0CCC5825"/>
    <w:rsid w:val="1BBD334C"/>
    <w:rsid w:val="1CC3777C"/>
    <w:rsid w:val="212F55F8"/>
    <w:rsid w:val="23FD55C4"/>
    <w:rsid w:val="25434DEC"/>
    <w:rsid w:val="2FFA07BA"/>
    <w:rsid w:val="31C857B7"/>
    <w:rsid w:val="322E213D"/>
    <w:rsid w:val="36EE1B1E"/>
    <w:rsid w:val="394062D2"/>
    <w:rsid w:val="426B46FB"/>
    <w:rsid w:val="4A24714A"/>
    <w:rsid w:val="5F220F6E"/>
    <w:rsid w:val="60FF56A7"/>
    <w:rsid w:val="6A3078E2"/>
    <w:rsid w:val="6C035C3B"/>
    <w:rsid w:val="6E585D02"/>
    <w:rsid w:val="72437E5D"/>
    <w:rsid w:val="77C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简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统计学实验标题"/>
    <w:basedOn w:val="1"/>
    <w:qFormat/>
    <w:uiPriority w:val="0"/>
    <w:pPr>
      <w:spacing w:line="360" w:lineRule="auto"/>
      <w:ind w:left="374" w:leftChars="178"/>
    </w:pPr>
    <w:rPr>
      <w:rFonts w:hint="eastAsia" w:ascii="宋体" w:hAnsi="宋体" w:eastAsia="宋体" w:cs="宋体"/>
      <w:b/>
      <w:kern w:val="2"/>
      <w:sz w:val="30"/>
      <w:szCs w:val="30"/>
      <w:lang w:val="en-US" w:bidi="ar-SA"/>
    </w:rPr>
  </w:style>
  <w:style w:type="paragraph" w:customStyle="1" w:styleId="10">
    <w:name w:val="统计学实验正文"/>
    <w:basedOn w:val="1"/>
    <w:qFormat/>
    <w:uiPriority w:val="0"/>
    <w:pPr>
      <w:spacing w:line="360" w:lineRule="auto"/>
      <w:ind w:left="473" w:leftChars="225"/>
    </w:pPr>
    <w:rPr>
      <w:rFonts w:hint="eastAsia" w:ascii="宋体" w:hAnsi="宋体" w:eastAsia="宋体" w:cs="宋体"/>
      <w:kern w:val="2"/>
      <w:sz w:val="24"/>
      <w:szCs w:val="30"/>
      <w:lang w:val="en-US" w:bidi="ar-SA"/>
    </w:rPr>
  </w:style>
  <w:style w:type="paragraph" w:customStyle="1" w:styleId="11">
    <w:name w:val="样式1"/>
    <w:basedOn w:val="1"/>
    <w:qFormat/>
    <w:uiPriority w:val="0"/>
    <w:pPr>
      <w:widowControl/>
      <w:ind w:firstLine="480" w:firstLineChars="200"/>
    </w:pPr>
    <w:rPr>
      <w:rFonts w:hint="eastAsia" w:ascii="宋体" w:hAnsi="宋体" w:eastAsia="宋体" w:cs="宋体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2021-11-08T11:46:00Z</dcterms:created>
  <dc:creator>Doll</dc:creator>
  <cp:lastModifiedBy>天涯路人1401170449</cp:lastModifiedBy>
  <dcterms:modified xsi:type="dcterms:W3CDTF">2021-11-16T15:24:57Z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C91DE5C05D13498F9B5AD5B9F61169D9</vt:lpwstr>
  </property>
</Properties>
</file>